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7994"/>
        <w:gridCol w:w="2098"/>
      </w:tblGrid>
      <w:tr>
        <w:tc>
          <w:tcPr>
            <w:tcW w:type="dxa" w:w="7994"/>
            <w:vAlign w:val="center"/>
            <w:tcMar>
              <w:top w:w="0" w:type="dxa"/>
              <w:start w:w="0" w:type="dxa"/>
              <w:bottom w:w="0" w:type="dxa"/>
              <w:end w:w="12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17324D"/>
                <w:sz w:val="48"/>
              </w:rPr>
              <w:t>JURATE SELANDER</w:t>
            </w:r>
          </w:p>
          <w:p>
            <w:pPr>
              <w:spacing w:after="100"/>
            </w:pPr>
            <w:r>
              <w:rPr>
                <w:rFonts w:ascii="Arial" w:hAnsi="Arial"/>
                <w:b/>
                <w:color w:val="0079AA"/>
                <w:sz w:val="22"/>
              </w:rPr>
              <w:t>GLOBAL MARKETING &amp; COMMUNICATIONS</w:t>
            </w:r>
          </w:p>
          <w:p>
            <w:pPr>
              <w:spacing w:after="100"/>
            </w:pPr>
            <w:r>
              <w:rPr>
                <w:rFonts w:ascii="Arial" w:hAnsi="Arial"/>
                <w:b/>
                <w:color w:val="17324D"/>
                <w:sz w:val="18"/>
              </w:rPr>
              <w:t>Life Science  •  Product Marketing  •  International Growth</w:t>
            </w:r>
          </w:p>
          <w:p>
            <w:pPr>
              <w:spacing w:after="0"/>
            </w:pPr>
            <w:r>
              <w:rPr>
                <w:color w:val="5F6B76"/>
                <w:sz w:val="17"/>
              </w:rPr>
              <w:t>Gothenburg, Sweden  •  [phone]  •  [email]</w:t>
              <w:br/>
              <w:t>linkedin.com/in/jurate-selander-71a39113a</w:t>
            </w:r>
          </w:p>
        </w:tc>
        <w:tc>
          <w:tcPr>
            <w:tcW w:type="dxa" w:w="2098"/>
            <w:vAlign w:val="center"/>
            <w:tcMar>
              <w:top w:w="0" w:type="dxa"/>
              <w:start w:w="120" w:type="dxa"/>
              <w:bottom w:w="0" w:type="dxa"/>
              <w:end w:w="0" w:type="dxa"/>
            </w:tcMar>
          </w:tcPr>
          <w:p>
            <w:pPr>
              <w:spacing w:after="0"/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206000" cy="1206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1-ChatGPT-Image-Jul-30-2026-10_52_02-AM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000" cy="120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80"/>
        <w:pBdr>
          <w:bottom w:val="single" w:sz="18" w:space="3" w:color="0079AA"/>
        </w:pBdr>
      </w:pPr>
    </w:p>
    <w:p>
      <w:pPr>
        <w:pStyle w:val="Heading1"/>
      </w:pPr>
      <w:r>
        <w:t>PROFILE</w:t>
      </w:r>
    </w:p>
    <w:p>
      <w:pPr>
        <w:spacing w:after="80"/>
      </w:pPr>
      <w:r>
        <w:t>Strategic and hands-on global marketing communications professional with 9+ years of experience in Life Science and scientific instrumentation. Skilled at translating complex product and application information into clear positioning, commercially relevant campaigns and practical sales support. Brings end-to-end experience across product launches, portfolio communication, brand development, distributor enablement, expert-led education and digital growth. Known for creating clarity, building alignment across functions and turning strategy into high-quality execution for international markets.</w:t>
      </w:r>
    </w:p>
    <w:p>
      <w:pPr>
        <w:pStyle w:val="Heading1"/>
      </w:pPr>
      <w:r>
        <w:t>CORE VALUE</w:t>
      </w:r>
    </w:p>
    <w:p>
      <w:pPr>
        <w:spacing w:after="60"/>
      </w:pPr>
      <w:r>
        <w:rPr>
          <w:b/>
          <w:color w:val="0079AA"/>
          <w:sz w:val="17"/>
        </w:rPr>
        <w:t xml:space="preserve">PRODUCT &amp; COMMERCIAL  </w:t>
      </w:r>
      <w:r>
        <w:rPr>
          <w:color w:val="263746"/>
          <w:sz w:val="17"/>
        </w:rPr>
        <w:t>positioning, portfolio communication, launches and sales enablement</w:t>
        <w:br/>
      </w:r>
      <w:r>
        <w:rPr>
          <w:b/>
          <w:color w:val="0079AA"/>
          <w:sz w:val="17"/>
        </w:rPr>
        <w:t xml:space="preserve">GLOBAL ACTIVATION  </w:t>
      </w:r>
      <w:r>
        <w:rPr>
          <w:color w:val="263746"/>
          <w:sz w:val="17"/>
        </w:rPr>
        <w:t>distributor marketing, cross-market campaigns and consistent messaging</w:t>
        <w:br/>
      </w:r>
      <w:r>
        <w:rPr>
          <w:b/>
          <w:color w:val="0079AA"/>
          <w:sz w:val="17"/>
        </w:rPr>
        <w:t xml:space="preserve">SCIENCE TO STORY  </w:t>
      </w:r>
      <w:r>
        <w:rPr>
          <w:color w:val="263746"/>
          <w:sz w:val="17"/>
        </w:rPr>
        <w:t>expert-led education, KOL content and clear customer-value communication</w:t>
        <w:br/>
      </w:r>
      <w:r>
        <w:rPr>
          <w:b/>
          <w:color w:val="0079AA"/>
          <w:sz w:val="17"/>
        </w:rPr>
        <w:t xml:space="preserve">DIGITAL GROWTH  </w:t>
      </w:r>
      <w:r>
        <w:rPr>
          <w:color w:val="263746"/>
          <w:sz w:val="17"/>
        </w:rPr>
        <w:t>HubSpot CRM, demand generation, analytics, SEO, GEO/AEO and AI implementation</w:t>
        <w:br/>
      </w:r>
    </w:p>
    <w:p>
      <w:pPr>
        <w:pStyle w:val="Heading1"/>
      </w:pPr>
      <w:r>
        <w:t>PROFESSIONAL EXPERIENCE</w:t>
      </w:r>
    </w:p>
    <w:p>
      <w:pPr>
        <w:keepNext/>
        <w:spacing w:before="80" w:after="0"/>
      </w:pPr>
      <w:r>
        <w:rPr>
          <w:b/>
          <w:color w:val="17324D"/>
          <w:sz w:val="20"/>
        </w:rPr>
        <w:t>Communication and Inbound Marketing Manager</w:t>
      </w:r>
      <w:r>
        <w:rPr>
          <w:b/>
          <w:color w:val="263746"/>
          <w:sz w:val="19"/>
        </w:rPr>
        <w:t xml:space="preserve">  |  Biolin Scientific AB</w:t>
      </w:r>
    </w:p>
    <w:p>
      <w:pPr>
        <w:keepNext/>
        <w:spacing w:after="40"/>
      </w:pPr>
      <w:r>
        <w:rPr>
          <w:i/>
          <w:color w:val="5F6B76"/>
          <w:sz w:val="17"/>
        </w:rPr>
        <w:t>Sep 2022 – Present  |  Gothenburg, Sweden</w:t>
      </w:r>
    </w:p>
    <w:p>
      <w:pPr>
        <w:pStyle w:val="ListBullet"/>
        <w:spacing w:after="44" w:line="252" w:lineRule="auto"/>
        <w:ind w:left="238" w:hanging="125"/>
      </w:pPr>
      <w:r>
        <w:rPr>
          <w:rFonts w:ascii="Arial" w:hAnsi="Arial"/>
          <w:b/>
          <w:color w:val="17324D"/>
          <w:sz w:val="18"/>
        </w:rPr>
        <w:t xml:space="preserve">Global portfolio: </w:t>
      </w:r>
      <w:r>
        <w:rPr>
          <w:rFonts w:ascii="Arial" w:hAnsi="Arial"/>
          <w:color w:val="263746"/>
          <w:sz w:val="18"/>
        </w:rPr>
        <w:t>Own global marketing communications for QSense, Attension and KSV NIMA—three scientific-instrumentation brands serving research and industry worldwide.</w:t>
      </w:r>
    </w:p>
    <w:p>
      <w:pPr>
        <w:pStyle w:val="ListBullet"/>
        <w:spacing w:after="44" w:line="252" w:lineRule="auto"/>
        <w:ind w:left="238" w:hanging="125"/>
      </w:pPr>
      <w:r>
        <w:rPr>
          <w:rFonts w:ascii="Arial" w:hAnsi="Arial"/>
          <w:b/>
          <w:color w:val="17324D"/>
          <w:sz w:val="18"/>
        </w:rPr>
        <w:t xml:space="preserve">Positioning: </w:t>
      </w:r>
      <w:r>
        <w:rPr>
          <w:rFonts w:ascii="Arial" w:hAnsi="Arial"/>
          <w:color w:val="263746"/>
          <w:sz w:val="18"/>
        </w:rPr>
        <w:t>Translate technical and application knowledge into clear customer-value messaging for international customers, sales teams and distribution partners.</w:t>
      </w:r>
    </w:p>
    <w:p>
      <w:pPr>
        <w:pStyle w:val="ListBullet"/>
        <w:spacing w:after="44" w:line="252" w:lineRule="auto"/>
        <w:ind w:left="238" w:hanging="125"/>
      </w:pPr>
      <w:r>
        <w:rPr>
          <w:rFonts w:ascii="Arial" w:hAnsi="Arial"/>
          <w:b/>
          <w:color w:val="17324D"/>
          <w:sz w:val="18"/>
        </w:rPr>
        <w:t xml:space="preserve">Product launches: </w:t>
      </w:r>
      <w:r>
        <w:rPr>
          <w:rFonts w:ascii="Arial" w:hAnsi="Arial"/>
          <w:color w:val="263746"/>
          <w:sz w:val="18"/>
        </w:rPr>
        <w:t>Lead end-to-end launches and portfolio campaigns—from go-to-market planning and messaging to sales materials, distributor toolkits, digital activation and optimization.</w:t>
      </w:r>
    </w:p>
    <w:p>
      <w:pPr>
        <w:pStyle w:val="ListBullet"/>
        <w:spacing w:after="44" w:line="252" w:lineRule="auto"/>
        <w:ind w:left="238" w:hanging="125"/>
      </w:pPr>
      <w:r>
        <w:rPr>
          <w:rFonts w:ascii="Arial" w:hAnsi="Arial"/>
          <w:b/>
          <w:color w:val="17324D"/>
          <w:sz w:val="18"/>
        </w:rPr>
        <w:t xml:space="preserve">Cross-functional leadership: </w:t>
      </w:r>
      <w:r>
        <w:rPr>
          <w:rFonts w:ascii="Arial" w:hAnsi="Arial"/>
          <w:color w:val="263746"/>
          <w:sz w:val="18"/>
        </w:rPr>
        <w:t>Partner with sales, product management, application scientists, R&amp;D and external experts to turn customer and market insight into relevant campaigns and education.</w:t>
      </w:r>
    </w:p>
    <w:p>
      <w:pPr>
        <w:pStyle w:val="ListBullet"/>
        <w:spacing w:after="44" w:line="252" w:lineRule="auto"/>
        <w:ind w:left="238" w:hanging="125"/>
      </w:pPr>
      <w:r>
        <w:rPr>
          <w:rFonts w:ascii="Arial" w:hAnsi="Arial"/>
          <w:b/>
          <w:color w:val="17324D"/>
          <w:sz w:val="18"/>
        </w:rPr>
        <w:t xml:space="preserve">Education &amp; engagement: </w:t>
      </w:r>
      <w:r>
        <w:rPr>
          <w:rFonts w:ascii="Arial" w:hAnsi="Arial"/>
          <w:color w:val="263746"/>
          <w:sz w:val="18"/>
        </w:rPr>
        <w:t>Create expert-led webinars, application content, customer stories, workshops and digital learning resources that build trust and commercial opportunity.</w:t>
      </w:r>
    </w:p>
    <w:p>
      <w:pPr>
        <w:pStyle w:val="ListBullet"/>
        <w:spacing w:after="44" w:line="252" w:lineRule="auto"/>
        <w:ind w:left="238" w:hanging="125"/>
      </w:pPr>
      <w:r>
        <w:rPr>
          <w:rFonts w:ascii="Arial" w:hAnsi="Arial"/>
          <w:b/>
          <w:color w:val="17324D"/>
          <w:sz w:val="18"/>
        </w:rPr>
        <w:t xml:space="preserve">Sales &amp; distributors: </w:t>
      </w:r>
      <w:r>
        <w:rPr>
          <w:rFonts w:ascii="Arial" w:hAnsi="Arial"/>
          <w:color w:val="263746"/>
          <w:sz w:val="18"/>
        </w:rPr>
        <w:t>Equip sales teams and distributors with clear priorities, launch plans and adaptable assets, supporting consistent messaging and effective local execution.</w:t>
      </w:r>
    </w:p>
    <w:p>
      <w:pPr>
        <w:pStyle w:val="ListBullet"/>
        <w:spacing w:after="44" w:line="252" w:lineRule="auto"/>
        <w:ind w:left="238" w:hanging="125"/>
      </w:pPr>
      <w:r>
        <w:rPr>
          <w:rFonts w:ascii="Arial" w:hAnsi="Arial"/>
          <w:b/>
          <w:color w:val="17324D"/>
          <w:sz w:val="18"/>
        </w:rPr>
        <w:t xml:space="preserve">Digital performance: </w:t>
      </w:r>
      <w:r>
        <w:rPr>
          <w:rFonts w:ascii="Arial" w:hAnsi="Arial"/>
          <w:color w:val="263746"/>
          <w:sz w:val="18"/>
        </w:rPr>
        <w:t>Develop the inbound engine through HubSpot CRM, websites, email automation, social media, video, SEO and emerging GEO/AEO practices; contributed to a 25%+ increase in leads.</w:t>
      </w:r>
    </w:p>
    <w:p>
      <w:pPr>
        <w:pStyle w:val="ListBullet"/>
        <w:spacing w:after="44" w:line="252" w:lineRule="auto"/>
        <w:ind w:left="238" w:hanging="125"/>
      </w:pPr>
      <w:r>
        <w:rPr>
          <w:rFonts w:ascii="Arial" w:hAnsi="Arial"/>
          <w:b/>
          <w:color w:val="17324D"/>
          <w:sz w:val="18"/>
        </w:rPr>
        <w:t xml:space="preserve">Ownership &amp; improvement: </w:t>
      </w:r>
      <w:r>
        <w:rPr>
          <w:rFonts w:ascii="Arial" w:hAnsi="Arial"/>
          <w:color w:val="263746"/>
          <w:sz w:val="18"/>
        </w:rPr>
        <w:t>Introduce responsible AI-supported workflows, establish project priorities and present strategies, KPIs and recommendations to senior management and the CEO.</w:t>
      </w:r>
    </w:p>
    <w:p>
      <w:pPr>
        <w:keepNext/>
        <w:spacing w:before="80" w:after="0"/>
      </w:pPr>
      <w:r>
        <w:rPr>
          <w:b/>
          <w:color w:val="17324D"/>
          <w:sz w:val="20"/>
        </w:rPr>
        <w:t>Marketing Specialist</w:t>
      </w:r>
      <w:r>
        <w:rPr>
          <w:b/>
          <w:color w:val="263746"/>
          <w:sz w:val="19"/>
        </w:rPr>
        <w:t xml:space="preserve">  |  Biolin Scientific AB</w:t>
      </w:r>
    </w:p>
    <w:p>
      <w:pPr>
        <w:keepNext/>
        <w:spacing w:after="40"/>
      </w:pPr>
      <w:r>
        <w:rPr>
          <w:i/>
          <w:color w:val="5F6B76"/>
          <w:sz w:val="17"/>
        </w:rPr>
        <w:t>Apr 2017 – Aug 2022  |  Gothenburg, Sweden</w:t>
      </w:r>
    </w:p>
    <w:p>
      <w:pPr>
        <w:pStyle w:val="ListBullet"/>
        <w:spacing w:after="44" w:line="252" w:lineRule="auto"/>
        <w:ind w:left="238" w:hanging="125"/>
      </w:pPr>
      <w:r>
        <w:rPr>
          <w:rFonts w:ascii="Arial" w:hAnsi="Arial"/>
          <w:color w:val="263746"/>
          <w:sz w:val="18"/>
        </w:rPr>
        <w:t>Delivered multi-channel campaigns, product communication, sales materials, landing pages, email programs and educational content for global Life Science and materials-science audiences.</w:t>
      </w:r>
    </w:p>
    <w:p>
      <w:pPr>
        <w:pStyle w:val="ListBullet"/>
        <w:spacing w:after="44" w:line="252" w:lineRule="auto"/>
        <w:ind w:left="238" w:hanging="125"/>
      </w:pPr>
      <w:r>
        <w:rPr>
          <w:rFonts w:ascii="Arial" w:hAnsi="Arial"/>
          <w:color w:val="263746"/>
          <w:sz w:val="18"/>
        </w:rPr>
        <w:t>Built hands-on expertise in HubSpot, websites, SEO, paid and organic digital channels, lead generation, analytics and campaign improvement.</w:t>
      </w:r>
    </w:p>
    <w:p>
      <w:pPr>
        <w:pStyle w:val="ListBullet"/>
        <w:spacing w:after="44" w:line="252" w:lineRule="auto"/>
        <w:ind w:left="238" w:hanging="125"/>
      </w:pPr>
      <w:r>
        <w:rPr>
          <w:rFonts w:ascii="Arial" w:hAnsi="Arial"/>
          <w:color w:val="263746"/>
          <w:sz w:val="18"/>
        </w:rPr>
        <w:t>Produced expert webinars, customer stories, application content, video and event communication while helping evolve the company’s brand and commercial messaging.</w:t>
      </w:r>
    </w:p>
    <w:p>
      <w:r>
        <w:br w:type="page"/>
      </w:r>
    </w:p>
    <w:p>
      <w:pPr>
        <w:pStyle w:val="Heading1"/>
      </w:pPr>
      <w:r>
        <w:t>EARLIER EXPERIENCE</w:t>
      </w:r>
    </w:p>
    <w:p>
      <w:pPr>
        <w:keepNext/>
        <w:spacing w:before="80" w:after="0"/>
      </w:pPr>
      <w:r>
        <w:rPr>
          <w:b/>
          <w:color w:val="17324D"/>
          <w:sz w:val="20"/>
        </w:rPr>
        <w:t>Freelance Marketer</w:t>
      </w:r>
      <w:r>
        <w:rPr>
          <w:b/>
          <w:color w:val="263746"/>
          <w:sz w:val="19"/>
        </w:rPr>
        <w:t xml:space="preserve">  |  Independent</w:t>
      </w:r>
    </w:p>
    <w:p>
      <w:pPr>
        <w:keepNext/>
        <w:spacing w:after="40"/>
      </w:pPr>
      <w:r>
        <w:rPr>
          <w:i/>
          <w:color w:val="5F6B76"/>
          <w:sz w:val="17"/>
        </w:rPr>
        <w:t>[add dates]</w:t>
      </w:r>
    </w:p>
    <w:p>
      <w:pPr>
        <w:pStyle w:val="ListBullet"/>
        <w:spacing w:after="44" w:line="252" w:lineRule="auto"/>
        <w:ind w:left="238" w:hanging="125"/>
      </w:pPr>
      <w:r>
        <w:rPr>
          <w:rFonts w:ascii="Arial" w:hAnsi="Arial"/>
          <w:color w:val="263746"/>
          <w:sz w:val="18"/>
        </w:rPr>
        <w:t>Supported clients with practical marketing communication, content and digital activities, adapting quickly to different audiences, priorities and brand contexts.</w:t>
      </w:r>
    </w:p>
    <w:p>
      <w:pPr>
        <w:keepNext/>
        <w:spacing w:before="80" w:after="0"/>
      </w:pPr>
      <w:r>
        <w:rPr>
          <w:b/>
          <w:color w:val="17324D"/>
          <w:sz w:val="20"/>
        </w:rPr>
        <w:t>PR / Digital Marketing</w:t>
      </w:r>
      <w:r>
        <w:rPr>
          <w:b/>
          <w:color w:val="263746"/>
          <w:sz w:val="19"/>
        </w:rPr>
        <w:t xml:space="preserve">  |  Utrikespolitiska Föreningen Göteborg</w:t>
      </w:r>
    </w:p>
    <w:p>
      <w:pPr>
        <w:keepNext/>
        <w:spacing w:after="40"/>
      </w:pPr>
      <w:r>
        <w:rPr>
          <w:i/>
          <w:color w:val="5F6B76"/>
          <w:sz w:val="17"/>
        </w:rPr>
        <w:t>2015 – 2016  |  Gothenburg, Sweden</w:t>
      </w:r>
    </w:p>
    <w:p>
      <w:pPr>
        <w:pStyle w:val="ListBullet"/>
        <w:spacing w:after="44" w:line="252" w:lineRule="auto"/>
        <w:ind w:left="238" w:hanging="125"/>
      </w:pPr>
      <w:r>
        <w:rPr>
          <w:rFonts w:ascii="Arial" w:hAnsi="Arial"/>
          <w:color w:val="263746"/>
          <w:sz w:val="18"/>
        </w:rPr>
        <w:t>Supported public relations and digital communication for a member-led organization, promoting activities and strengthening audience engagement across communication channels.</w:t>
      </w:r>
    </w:p>
    <w:p>
      <w:pPr>
        <w:pStyle w:val="Heading1"/>
      </w:pPr>
      <w:r>
        <w:t>SELECTED MARKETING CAPABILITIES</w:t>
      </w:r>
    </w:p>
    <w:p>
      <w:pPr>
        <w:spacing w:after="44"/>
      </w:pPr>
      <w:r>
        <w:rPr>
          <w:b/>
          <w:color w:val="17324D"/>
        </w:rPr>
        <w:t xml:space="preserve">Strategy &amp; leadership: </w:t>
      </w:r>
      <w:r>
        <w:t>Global marketing planning, product positioning, go-to-market strategy, budget prioritization, team and project coordination, KPI frameworks and executive presentations.</w:t>
      </w:r>
    </w:p>
    <w:p>
      <w:pPr>
        <w:spacing w:after="44"/>
      </w:pPr>
      <w:r>
        <w:rPr>
          <w:b/>
          <w:color w:val="17324D"/>
        </w:rPr>
        <w:t xml:space="preserve">Product &amp; commercial marketing: </w:t>
      </w:r>
      <w:r>
        <w:t>Portfolio communication, product launches, customer-value messaging, sales materials, campaign development and close collaboration with sales, distributors and technical teams.</w:t>
      </w:r>
    </w:p>
    <w:p>
      <w:pPr>
        <w:spacing w:after="44"/>
      </w:pPr>
      <w:r>
        <w:rPr>
          <w:b/>
          <w:color w:val="17324D"/>
        </w:rPr>
        <w:t xml:space="preserve">Education &amp; engagement: </w:t>
      </w:r>
      <w:r>
        <w:t>Expert- and KOL-led webinars, application content, customer stories, workshops, digital learning resources, video and event communication.</w:t>
      </w:r>
    </w:p>
    <w:p>
      <w:pPr>
        <w:spacing w:after="44"/>
      </w:pPr>
      <w:r>
        <w:rPr>
          <w:b/>
          <w:color w:val="17324D"/>
        </w:rPr>
        <w:t xml:space="preserve">Growth &amp; digital: </w:t>
      </w:r>
      <w:r>
        <w:t>Inbound marketing, lead generation, conversion journeys, campaign optimization, websites, CRM, email automation, SEO, GEO, AEO, paid media and organic social.</w:t>
      </w:r>
    </w:p>
    <w:p>
      <w:pPr>
        <w:spacing w:after="44"/>
      </w:pPr>
      <w:r>
        <w:rPr>
          <w:b/>
          <w:color w:val="17324D"/>
        </w:rPr>
        <w:t xml:space="preserve">Global activation: </w:t>
      </w:r>
      <w:r>
        <w:t>Distributor enablement, partner toolkits, international campaign coordination, message consistency, sales collaboration and adaptable multi-market execution.</w:t>
      </w:r>
    </w:p>
    <w:p>
      <w:pPr>
        <w:spacing w:after="44"/>
      </w:pPr>
      <w:r>
        <w:rPr>
          <w:b/>
          <w:color w:val="17324D"/>
        </w:rPr>
        <w:t xml:space="preserve">AI-enabled marketing: </w:t>
      </w:r>
      <w:r>
        <w:t>AI-assisted research and analysis, content operations, workflow improvement, AI-search readiness, responsible governance and human expert review.</w:t>
      </w:r>
    </w:p>
    <w:p>
      <w:pPr>
        <w:pStyle w:val="Heading1"/>
      </w:pPr>
      <w:r>
        <w:t>TOOLS &amp; PLATFORMS</w:t>
      </w:r>
    </w:p>
    <w:p>
      <w:pPr>
        <w:spacing w:after="60"/>
      </w:pPr>
      <w:r>
        <w:t>HubSpot CRM &amp; Marketing Hub  •  GA4  •  Google Search Console  •  Google Ads  •  LinkedIn Campaign Manager  •  CMS/website publishing  •  Microsoft 365  •  Webinar and video platforms  •  AI productivity and content tools</w:t>
      </w:r>
    </w:p>
    <w:p>
      <w:pPr>
        <w:pStyle w:val="Heading1"/>
      </w:pPr>
      <w:r>
        <w:t>EDUCATION</w:t>
      </w:r>
    </w:p>
    <w:p>
      <w:pPr>
        <w:spacing w:after="40"/>
      </w:pPr>
      <w:r>
        <w:rPr>
          <w:b/>
          <w:color w:val="17324D"/>
        </w:rPr>
        <w:t>Aarhus University</w:t>
      </w:r>
      <w:r>
        <w:t xml:space="preserve">  |  [degree, field of study and dates]</w:t>
      </w:r>
    </w:p>
    <w:p>
      <w:pPr>
        <w:pStyle w:val="Heading1"/>
      </w:pPr>
      <w:r>
        <w:t>LANGUAGES</w:t>
      </w:r>
    </w:p>
    <w:p>
      <w:pPr>
        <w:spacing w:after="60"/>
      </w:pPr>
      <w:r>
        <w:t>Lithuanian  •  English  •  Swedish</w:t>
      </w:r>
    </w:p>
    <w:p>
      <w:pPr>
        <w:pStyle w:val="Heading1"/>
      </w:pPr>
      <w:r>
        <w:t>ADDITIONAL VALUE</w:t>
      </w:r>
    </w:p>
    <w:p>
      <w:pPr>
        <w:pStyle w:val="ListBullet"/>
        <w:spacing w:after="44" w:line="252" w:lineRule="auto"/>
        <w:ind w:left="238" w:hanging="125"/>
      </w:pPr>
      <w:r>
        <w:rPr>
          <w:rFonts w:ascii="Arial" w:hAnsi="Arial"/>
          <w:color w:val="263746"/>
          <w:sz w:val="18"/>
        </w:rPr>
        <w:t>Combines long-term strategic thinking with hands-on delivery—from the first positioning discussion to published assets, sales activation, measurement and improvement.</w:t>
      </w:r>
    </w:p>
    <w:p>
      <w:pPr>
        <w:pStyle w:val="ListBullet"/>
        <w:spacing w:after="44" w:line="252" w:lineRule="auto"/>
        <w:ind w:left="238" w:hanging="125"/>
      </w:pPr>
      <w:r>
        <w:rPr>
          <w:rFonts w:ascii="Arial" w:hAnsi="Arial"/>
          <w:color w:val="263746"/>
          <w:sz w:val="18"/>
        </w:rPr>
        <w:t>Experienced in a purpose-led Life Science environment where clear communication, scientific credibility and commercial impact must reinforce one another.</w:t>
      </w:r>
    </w:p>
    <w:p>
      <w:pPr>
        <w:pStyle w:val="ListBullet"/>
        <w:spacing w:after="44" w:line="252" w:lineRule="auto"/>
        <w:ind w:left="238" w:hanging="125"/>
      </w:pPr>
      <w:r>
        <w:rPr>
          <w:rFonts w:ascii="Arial" w:hAnsi="Arial"/>
          <w:color w:val="263746"/>
          <w:sz w:val="18"/>
        </w:rPr>
        <w:t>Creates structure and momentum across complex projects through clear priorities, collaborative working relationships, ownership and calm execution.</w:t>
      </w:r>
    </w:p>
    <w:p>
      <w:pPr>
        <w:pStyle w:val="ListBullet"/>
        <w:spacing w:after="44" w:line="252" w:lineRule="auto"/>
        <w:ind w:left="238" w:hanging="125"/>
      </w:pPr>
      <w:r>
        <w:rPr>
          <w:rFonts w:ascii="Arial" w:hAnsi="Arial"/>
          <w:color w:val="263746"/>
          <w:sz w:val="18"/>
        </w:rPr>
        <w:t>International outlook with experience supporting global brands, local markets, direct sales teams, technical experts and external distribution partners.</w:t>
      </w:r>
    </w:p>
    <w:sectPr w:rsidR="00FC693F" w:rsidRPr="0006063C" w:rsidSect="00034616">
      <w:footerReference w:type="default" r:id="rId10"/>
      <w:pgSz w:w="11906" w:h="16838"/>
      <w:pgMar w:top="709" w:right="879" w:bottom="709" w:left="879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F6B76"/>
        <w:sz w:val="16"/>
      </w:rPr>
      <w:t>Jurate Selander  •  CV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 w:line="259" w:lineRule="auto"/>
    </w:pPr>
    <w:rPr>
      <w:rFonts w:ascii="Arial" w:hAnsi="Arial"/>
      <w:color w:val="263746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70"/>
      <w:outlineLvl w:val="0"/>
    </w:pPr>
    <w:rPr>
      <w:rFonts w:asciiTheme="majorHAnsi" w:eastAsiaTheme="majorEastAsia" w:hAnsiTheme="majorHAnsi" w:cstheme="majorBidi" w:ascii="Arial" w:hAnsi="Arial"/>
      <w:b/>
      <w:bCs/>
      <w:color w:val="0079AA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rial" w:hAnsi="Arial"/>
      <w:b/>
      <w:bCs/>
      <w:color w:val="17324D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40" w:after="20"/>
      <w:outlineLvl w:val="2"/>
    </w:pPr>
    <w:rPr>
      <w:rFonts w:asciiTheme="majorHAnsi" w:eastAsiaTheme="majorEastAsia" w:hAnsiTheme="majorHAnsi" w:cstheme="majorBidi" w:ascii="Arial" w:hAnsi="Arial"/>
      <w:b/>
      <w:bCs/>
      <w:color w:val="17324D"/>
      <w:sz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Jurate Selander – CV – Head of Marketing &amp; Communications</dc:title>
  <dc:subject>Global Life Science Marketing and Communications</dc:subject>
  <dc:creator>Jurate Selander</dc:creator>
  <cp:keywords>Head of Marketing, Life Science, MedTech, product marketing, communications, product launches, distributor marketing, KOL, digital learning, HubSpot, CRM, SEO, GEO, AEO, AI, brand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